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FE2" w:rsidRPr="009C2FE2" w:rsidRDefault="009C2FE2" w:rsidP="009C2F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Ogłoszenie nr 607641-N-2018 z dnia 2018-08-23 r.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Gminne Przedsiębiorstwo Gospodarki Komunalnej w Tarnowcu Spółka z ograniczoną odpowiedzialnością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Dostawa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hurtowa oleju napędowego i benzyny do zbiornika zlokalizowanego na stacji paliw w Tarnowcu będącą własnością GPGK w Tarnowcu sp. z o.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>OGŁOSZENIE O ZAMÓWIENIU - Dostawy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Zamieszczanie ogłoszenia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Zamieszczanie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obowiązkowe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Ogłoszenie dotyczy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Zamówienia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publicznego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Zamówienie dotyczy projektu lub programu współfinansowanego ze środków Unii Europejskiej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Nazwa projektu lub programu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nie mniejszy niż 30%, osób zatrudnionych przez zakłady pracy chronionej lub wykonawców albo ich jednostki (w %)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Postępowanie przeprowadza centralny zamawiający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Postępowanie przeprowadza podmiot, któremu zamawiający powierzył/powierzyli przeprowadzenie postępowania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Informacje na temat podmiotu któremu zamawiający powierzył/powierzyli prowadzenie postępowania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Postępowanie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jest przeprowadzane wspólnie przez zamawiających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Jeżeli tak, należy wymienić zamawiających, którzy wspólnie przeprowadzają postępowanie oraz podać adresy ich siedzib, krajowe numery identyfikacyjne oraz osoby do kontaktów wraz z danymi do kontaktów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Postępowanie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jest przeprowadzane wspólnie z zamawiającymi z innych państw członkowskich Unii Europejskiej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przypadku przeprowadzania postępowania wspólnie z zamawiającymi z innych państw członkowskich Unii Europejskiej – mające zastosowanie krajowe prawo zamówień publicznych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Informacje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dodatkowe: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I. 1) NAZWA I ADRES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Gminne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Przedsiębiorstwo Gospodarki Komunalnej w Tarnowcu Spółka z ograniczoną odpowiedzialnością, krajowy numer identyfikacyjny 18092455200000, ul. Tarnowiec  143, 38204   Tarnowiec, woj. podkarpackie, państwo Polska, tel. 134 436 919, e-mail zbgk@ugtarnowiec.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pl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faks 134 424 011.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 strony internetowej (URL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): www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tarnowiec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.eu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 profilu nabywcy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strony internetowej pod którym można uzyskać dostęp do narzędzi i urządzeń lub formatów plików, które nie są ogólnie dostępne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I. 2) RODZAJ ZAMAWIAJĄCEGO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Podmiot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prawa publicznego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I.3) WSPÓLNE UDZIELANIE 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ZAMÓWIENIA </w:t>
      </w:r>
      <w:r w:rsidRPr="009C2FE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>(jeżeli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dotyczy)</w:t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Europejskiej (który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I.4) KOMUNIKACJA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Nieograniczony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, pełny i bezpośredni dostęp do dokumentów z postępowania można uzyskać pod adresem (URL)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Tak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www.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tarnowiec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eu</w:t>
      </w:r>
      <w:proofErr w:type="gramEnd"/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Adres strony internetowej, na której zamieszczona będzie specyfikacja istotnych warunków zamówienia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Tak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www.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tarnowiec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eu</w:t>
      </w:r>
      <w:proofErr w:type="gramEnd"/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Dostęp do dokumentów z postępowania jest ograniczony - więcej informacji można uzyskać pod adresem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Oferty lub wnioski o dopuszczenie do udziału w postępowaniu należy przesyłać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Elektronicznie</w:t>
      </w:r>
      <w:proofErr w:type="gramEnd"/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Dopuszczone jest przesłanie ofert lub wniosków o dopuszczenie do udziału w postępowaniu w inny sposób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Inny sposób: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Wymagane jest przesłanie ofert lub wniosków o dopuszczenie do udziału w postępowaniu w inny sposób: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Tak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Inny sposób: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za pośrednictwem operatora pocztowego w rozumieniu ustawy z dnia 23 listopada 2012 r. Prawo pocztowe (Dz.U.2016.1113), osobiście, za pośrednictwem posłańca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Gminne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Przedsiębiorstwo Gospodarki Komunalnej w Tarnowcu spółka z ograniczoną odpowiedzialnością Tarnowiec 143, 38-204 Tarnowiec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Komunikacja elektroniczna wymaga korzystania z narzędzi i urządzeń lub formatów plików, które nie są ogólnie dostępne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Nieograniczony, pełny, bezpośredni i bezpłatny dostęp do tych narzędzi można uzyskać pod adresem: (URL)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SEKCJA II: PRZEDMIOT ZAMÓWIENIA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II.1) Nazwa nadana zamówieniu przez zamawiającego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Dostawa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hurtowa oleju napędowego i benzyny do zbiornika zlokalizowanego na stacji paliw w Tarnowcu będącą własnością GPGK w Tarnowcu sp. z o.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referencyjny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PN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1/2018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Przed wszczęciem postępowania o udzielenie zamówienia przeprowadzono dialog techniczny </w:t>
      </w:r>
    </w:p>
    <w:p w:rsidR="009C2FE2" w:rsidRPr="009C2FE2" w:rsidRDefault="009C2FE2" w:rsidP="009C2FE2">
      <w:pPr>
        <w:spacing w:after="0" w:line="376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II.2) Rodzaj zamówienia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Dostawy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II.3) Informacja o możliwości składania ofert częściowych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Zamówienie podzielone jest na części: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Oferty lub wnioski o dopuszczenie do udziału w postępowaniu można składać w odniesieniu do: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Zamawiający zastrzega sobie prawo do udzielenia łącznie następujących części lub grup części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Maksymalna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liczba części zamówienia, na które może zostać udzielone zamówienie jednemu wykonawcy: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II.4) Krótki opis przedmiotu zamówienia </w:t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(wielkość, zakres, rodzaj i ilość dostaw, usług lub robót budowlanych lub określenie zapotrzebowania i wymagań</w:t>
      </w:r>
      <w:proofErr w:type="gramStart"/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)</w:t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a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w przypadku partnerstwa innowacyjnego - określenie zapotrzebowania na innowacyjny produkt, usługę lub roboty budowlane: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3.1. Dostawa hurtowa oleju napędowego i benzyny do zbiornika zlokalizowanego na stacji paliw w Tarnowcu będącą własnością GPGK w Tarnowcu sp. z o.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., 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przez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okres 12 miesięcy: -oleju napędowego nie więcej niż 50000 dm³ -benzyny 95E nie więcej niż 5000 dm³- w ilościach wynikających z bieżących potrzeb Zamawiającego, spełniających wymagania określone w Rozporządzeniu Ministra Gospodarki w sprawie wymagań jakościowych dla paliw ciekłych z dnia 9 października 2015 r. (Dz. U. 2015, 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.1680) - zgodnie z Drukiem nr 1 – formularz ofertowy i projektem umowy, o wartości zamówienia nie przekraczającej kwoty określonej w przepisach wydanych na podstawie art. 11 ust. 8 ustawy. 3.2. Wykonawca dostarczy zamawiany olej napędowy i benzynę własnym transportem na swój koszt i ryzyko. 3.3. Cysterna powinna być wyposażona w układ dystrybucyjny z pompą załadowczą oraz legalizowanym przepływomierzem. 3.4. Przy każdej dostawie paliwa do zbiornika Wykonawca zobowiązuje się dostarczyć Zamawiającemu 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świadectwo jakości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paliwa 3.5. Rozliczenie ilości dostarczonego paliwa powinno się odbyć na podstawie zainstalowanego na cysternie Wykonawcy licznika, który określi rzeczywistą ilość dostarczonego paliwa oraz ilość paliwa w referencyjnych warunkach + 15º C,. 3.6. Podstawą do przekazania należności będzie faktura VAT wystawiona przez Wykonawcę. Faktury płatne będą poleceniem przelewu na konto Wykonawcy wskazane na fakturze w ciągu 30 dni od daty dostarczenia faktury VAT do Zamawiającego. 3.7. Zamawiane paliwo jest wykorzystane wyłącznie na potrzeby własne Zamawiającego, nie prowadzi się obrotu paliwa na zewnątrz i z zagranicą.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II.5) Główny kod CPV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09134100-8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Dodatkowe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kody CPV: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</w:tblGrid>
      <w:tr w:rsidR="009C2FE2" w:rsidRPr="009C2FE2" w:rsidTr="009C2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Kod CPV</w:t>
            </w:r>
          </w:p>
        </w:tc>
      </w:tr>
      <w:tr w:rsidR="009C2FE2" w:rsidRPr="009C2FE2" w:rsidTr="009C2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09132100-4</w:t>
            </w:r>
          </w:p>
        </w:tc>
      </w:tr>
    </w:tbl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II.6) Całkowita wartość zamówienia </w:t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(jeżeli zamawiający podaje informacje o wartości zamówienia</w:t>
      </w:r>
      <w:proofErr w:type="gramStart"/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Wartość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bez VAT: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Waluta: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PLN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II.8) Okres, w którym realizowane będzie zamówienie lub okres, na który została zawarta umowa ramowa </w:t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lub okres, na który został ustanowiony dynamiczny system zakupów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miesiącach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 12  </w:t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 lub </w:t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dniach: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lub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data rozpoczęcia: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 lub </w:t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zakończenia: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II.9) Informacje dodatkowe: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SEKCJA III: INFORMACJE O CHARAKTERZE PRAWNYM, EKONOMICZNYM, FINANSOWYM I TECHNICZNYM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III.1) WARUNKI UDZIAŁU W POSTĘPOWANIU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III.1.1) Kompetencje lub uprawnienia do prowadzenia określonej działalności zawodowej, o ile wynika to z odrębnych przepisów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Określenie warunków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dodatkowe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III.1.2) Sytuacja finansowa lub ekonomiczna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Określenie warunków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dodatkowe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III.1.3) Zdolność techniczna lub zawodowa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Określenie warunków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Zamawiający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wymaga od wykonawców wskazania w ofercie lub we wniosku o dopuszczenie do udziału w postępowaniu imion i nazwisk osób wykonujących czynności przy realizacji zamówienia wraz z informacją o kwalifikacjach zawodowych lub doświadczeniu tych osób: 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III.2) PODSTAWY WYKLUCZENIA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III.2.1) Podstawy wykluczenia określone w art. 24 ust. 1 ustawy </w:t>
      </w:r>
      <w:proofErr w:type="spell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III.2.2) Zamawiający przewiduje wykluczenie wykonawcy na podstawie art. 24 ust. 5 ustawy </w:t>
      </w:r>
      <w:proofErr w:type="spell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Nie Zamawiający przewiduje następujące fakultaty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wne podstawy wykluczenia: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III.3) WYKAZ OŚWIADCZEŃ SKŁADANYCH PRZEZ WYKONAWCĘ W CELU WSTĘPNEGO POTWIERDZENIA, ŻE NIE PODLEGA ON WYKLUCZENIU ORAZ SPEŁNIA WARUNKI UDZIAŁU W POSTĘPOWANIU ORAZ SPEŁNIA KRYTERIA SELEKCJI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Oświadczenie o niepodleganiu wykluczeniu oraz spełnianiu warunków udziału w postępowaniu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Tak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Oświadczenie o spełnianiu kryteriów selekcji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III.4) WYKAZ OŚWIADCZEŃ LUB 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DOKUMENTÓW , 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SKŁADANYCH PRZEZ WYKONAWCĘ W POSTĘPOWANIU NA WEZWANIE ZAMAWIAJACEGO W CELU POTWIERDZENIA OKOLICZNOŚCI, O KTÓRYCH MOWA W ART. 25 UST. 1 PKT 3 USTAWY PZP: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III.5) WYKAZ OŚWIADCZEŃ LUB DOKUMENTÓW SKŁADANYCH PRZEZ WYKONAWCĘ W POSTĘPOWANIU NA WEZWANIE ZAMAWIAJACEGO W CELU POTWIERDZENIA OKOLICZNOŚCI, O KTÓRYCH MOWA W ART. 25 UST. 1 PKT 1 USTAWY PZP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III.5.1) W ZAKRESIE SPEŁNIANIA WARUNKÓW UDZIAŁU W POSTĘPOWANIU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.5.2) W ZAKRESIE KRYTERIÓW SELEKCJI: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III.6) WYKAZ OŚWIADCZEŃ LUB DOKUMENTÓW SKŁADANYCH PRZEZ WYKONAWCĘ W POSTĘPOWANIU NA WEZWANIE ZAMAWIAJACEGO W CELU POTWIERDZENIA OKOLICZNOŚCI, O KTÓRYCH MOWA W ART. 25 UST. 1 PKT 2 USTAWY PZP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III.7) INNE DOKUMENTY 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NIE WYMIENIONE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W pkt III.3) - III.6)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Wykonawca, w terminie 3 dni od dnia zamieszczenia na stronie internetowej informacji z otwarcia ofert, o której mowa w art. 86 ust. 5 PZP, przekazuje Zamawiającemu oświadczenie o przynależności lub braku przynależności do tej samej grupy kapitałowej, o której mowa w art. 24 ust. 1 pkt 23) PZP. Wraz ze złożeniem oświadczenia, wykonawca może przedstawić dowody, że powiązania z innym wykonawcą nie prowadzą do zakłócenia konkurencji w postępowaniu o udzielenie zamówienia. Wzór oświadczenia będzie udostępniony przez Zamawiającego na stronie internetowej wraz z informacją z otwarcia ofert, o której mowa w art. 86 ust. 5 PZP.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SEKCJA IV: PROCEDURA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IV.1) OPIS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IV.1.1) Tryb udzielenia zamówienia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Przetarg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nieograniczony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IV.1.2) Zamawiający żąda wniesienia wadium: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Informacja na temat wadium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IV.1.3) Przewiduje się udzielenie zaliczek na poczet wykonania zamówienia: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Należy podać informacje na temat udzielania zaliczek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.1.4) Wymaga się złożenia ofert w postaci katalogów elektronicznych lub dołączenia do ofert katalogów elektronicznych: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Dopuszcza się złożenie ofert w postaci katalogów elektronicznych lub dołączenia do ofert katalogów elektronicznych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IV.1.5.) Wymaga się złożenia oferty wariantowej: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Dopuszcza się złożenie oferty wariantowej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Złożenie oferty wariantowej dopuszcza się tylko z jednoczesnym złożeniem oferty zasadniczej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IV.1.6) Przewidywana liczba wykonawców, którzy zostaną zaproszeni do udziału w postępowaniu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(przetarg ograniczony, negocjacje z ogłoszeniem, dialog konkurencyjny, partnerstwo innowacyjne)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Liczba wykonawców  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Przewidywana minimalna liczba wykonawców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Maksymalna liczba wykonawców  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Kryteria selekcji wykonawców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.1.7) Informacje na temat umowy ramowej lub dynamicznego systemu zakupów: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Umowa ramowa będzie zawarta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Czy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przewiduje się ograniczenie liczby uczestników umowy ramowej: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Przewidziana maksymalna liczba uczestników umowy ramowej: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Zamówienie obejmuje ustanowienie dynamicznego systemu zakupów: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 strony internetowej, na której będą zamieszczone dodatkowe informacje dotyczące dynamicznego systemu zakupów: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 ramach umowy ramowej/dynamicznego systemu zakupów dopuszcza się złożenie ofert w formie katalogów elektronicznych: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Przewiduje się pobranie ze złożonych katalogów elektronicznych informacji potrzebnych do sporządzenia ofert w ramach umowy ramowej/dynamicznego systemu zakupów: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IV.1.8) Aukcja elektroniczna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Przewidziane jest przeprowadzenie aukcji elektronicznej </w:t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(przetarg nieograniczony, przetarg ograniczony, negocjacje z ogłoszeniem</w:t>
      </w:r>
      <w:proofErr w:type="gramStart"/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Należy podać adres strony internetowej, na której aukcja będzie prowadzona: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Należy wskazać elementy, których wartości będą przedmiotem aukcji elektronicznej: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Przewiduje się ograniczenia co do przedstawionych wartości, wynikające z opisu przedmiotu zamówienia: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Należy podać, które informacje zostaną udostępnione wykonawcom w trakcie aukcji elektronicznej oraz jaki będzie termin ich udostępnienia: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dotyczące przebiegu aukcji elektronicznej: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Jaki jest przewidziany sposób postępowania w toku aukcji elektronicznej i jakie będą warunki, na jakich wykonawcy będą mogli licytować (minimalne wysokości postąpień):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dotyczące wykorzystywanego sprzętu elektronicznego, rozwiązań i specyfikacji technicznych w zakresie połączeń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Wymagania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dotyczące rejestracji i identyfikacji wykonawców w aukcji elektronicznej: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o liczbie etapów aukcji elektronicznej i czasie ich trwania: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Czas trwania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Czy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wykonawcy, którzy nie złożyli nowych postąpień, zostaną zakwalifikowani do następnego etapu: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Warunki zamknięcia aukcji elektronicznej: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IV.2) KRYTERIA OCENY OFERT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IV.2.1) Kryteria oceny ofert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.2.2) Kryteria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6"/>
        <w:gridCol w:w="852"/>
      </w:tblGrid>
      <w:tr w:rsidR="009C2FE2" w:rsidRPr="009C2FE2" w:rsidTr="009C2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Znaczenie</w:t>
            </w:r>
          </w:p>
        </w:tc>
      </w:tr>
      <w:tr w:rsidR="009C2FE2" w:rsidRPr="009C2FE2" w:rsidTr="009C2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60,00</w:t>
            </w:r>
          </w:p>
        </w:tc>
      </w:tr>
      <w:tr w:rsidR="009C2FE2" w:rsidRPr="009C2FE2" w:rsidTr="009C2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proofErr w:type="gramEnd"/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dostawy częściowej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2FE2" w:rsidRPr="009C2FE2" w:rsidRDefault="009C2FE2" w:rsidP="009C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2F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40,00</w:t>
            </w:r>
          </w:p>
        </w:tc>
      </w:tr>
    </w:tbl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IV.2.3) Zastosowanie procedury, o której mowa w art. 24aa ust. 1 ustawy </w:t>
      </w:r>
      <w:proofErr w:type="spell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(przetarg nieograniczony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IV.3) Negocjacje z ogłoszeniem, dialog konkurencyjny, partnerstwo innowacyjne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IV.3.1) Informacje na temat negocjacji z ogłoszeniem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Minimalne wymagania, które muszą spełniać wszystkie oferty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Przewidziane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jest zastrzeżenie prawa do udzielenia zamówienia na podstawie ofert wstępnych bez przeprowadzenia negocjacji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Przewidziany jest podział negocjacji na etapy w celu ograniczenia liczby ofert: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Należy podać informacje na temat etapów negocjacji (w tym liczbę et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apów):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IV.3.2) Informacje na temat dialogu konkurencyjnego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Opis potrzeb i wymagań zamawiającego lub informacja o sposobie uzyskania tego opisu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 wysokości nagród dla wykonawców, którzy podczas dialogu konkurencyjnego przedstawili rozwiązania stanowiące podstawę do składania ofert, jeżeli zamawiający przewiduje nagrody: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Wstępny harmonogram postępowania: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Podział dialogu na etapy w celu ograniczenia liczby rozwiązań: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Należy podać inform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acje na temat etapów dialogu: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IV.3.3) Informacje na temat partnerstwa innowacyjnego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Elementy opisu przedmiotu zamówienia definiujące minimalne wymagania, którym musz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ą odpowiadać wszystkie oferty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Podział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negocjacji na etapy w celu ograniczeniu liczby ofert podlegających negocjacjom poprzez zastosowanie kryteriów oceny ofert wskazanych w specyfikacji istotnych warunków zamówieni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IV.4) Licytacja elektroniczna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Adres strony internetowej, na której będzie prowadzona licytacja elektroniczna: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 strony internetowej, na której jest dostępny opis przedmiotu zamówienia w licytacji elektronicznej: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Wymagania dotyczące rejestracji i identyfikacji wykonawców w licytacji elektronicznej, w tym wymagania techniczne urządzeń informatycznych: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Sposób postępowania w toku licytacji elektronicznej, w tym określenie minimalnych wysokości postąpień: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Informacje o liczbie etapów licytacji elektronicznej i czasie ich trwania: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Czas trwania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Wykonawcy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którzy nie złożyli nowych postąpień, zostaną zakwalifikowani do następnego etapu: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Termin składania wniosków o dopuszczenie do udziału w licytacji elektronicznej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Data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godzina: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Termin otwarcia licytacji elektronicznej: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Termin i warunki zamknięcia licytacji elektronicznej: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Istotne dla stron postanowienia, które zostaną wprowadzone do treści zawieranej umowy w sprawie zamówienia publicznego, albo ogólne warunki umowy, albo wzór umowy: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Wymagania dotyczące zabezpieczenia należytego wykonania umowy: </w:t>
      </w:r>
    </w:p>
    <w:p w:rsidR="009C2FE2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Informacje dodatkowe: </w:t>
      </w:r>
    </w:p>
    <w:p w:rsidR="00982783" w:rsidRPr="009C2FE2" w:rsidRDefault="009C2FE2" w:rsidP="009C2FE2">
      <w:pPr>
        <w:spacing w:after="0" w:line="376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IV.5) ZMIANA UMOWY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Przewiduje się istotne zmiany postanowień zawartej umowy w stosunku do treści oferty, na podstawie której dokonano wyboru wykonawcy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Tak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Należy wskazać zakres, charakter zmian oraz warunki wprowadzenia zmian: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Zmiany umowy mogą nastąpić w następujących przypadkach: 1) zaistnienia okoliczności po stronie Zamawiającego, w szczególności spowodowanych sytuacją finansową, zdolnościami płatniczymi, warunkami organizacyjnymi lub okolicznościami, które nie były możliwe do przewidzenia w chwili zawarcia umowy – zmianie może ulec termin realizacji umowy, 2) gdy zaistnieje inna, niemożliwa do przewidzenia w momencie zawarcia umowy okoliczność prawna, ekonomiczna lub techniczna, za którą żadna ze stron nie ponosi odpowiedzialności, skutkująca brakiem możliwości należytego wykonania umowy, Zamawiający dopuszcza 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możliwość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zmiany umowy, w szczególności terminu realizacji umowy, 3) gdy zaistnieje przyczyna, o której mowa w § 2 ust. 4. Warunkiem dokonania zmian jest złożenie wniosku przez stronę inicjującą zmianę, zawierającego: a) opis propozycji zmiany, b) uzasadnienie zmiany, c) opis wpływu zmiany na termin wykonania umowy. 4) 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zmiany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obowiązującej stawki podatku VAT, 5) konieczności wprowadzenia zmian spowodowanych zmianami w przepisach prawa, normach i standardach lub zmianami w wiedzy technicznej, 6) zmiany nazwy handlowej oferowanego paliwa, 7) zawieszenia notowań cen hurtowych standardowego oleju napędowego i benzyny bezołowiowej publikowanych na stronie www.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paliwa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proofErr w:type="gramStart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pl 8) jeśli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konieczność wprowadzenia takich zmian wynika z okoliczności, których przy dołożeniu należytej staranności nie można było przewidzieć w chwili zawierania umowy lub zmiany te są korzystne dla Zamawiającego bez zwiększenia ustalonego wynagrodzenia.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IV.6) INFORMACJE ADMINISTRACYJNE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IV.6.1) Sposób udostępniania informacji o charakterze poufnym </w:t>
      </w:r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(jeżeli dotyczy</w:t>
      </w:r>
      <w:proofErr w:type="gramStart"/>
      <w:r w:rsidRPr="009C2FE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Środki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służące ochronie informacji o charakterze poufnym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IV.6.2) Termin składania ofert lub wniosków o dopuszczenie do udziału w postępowaniu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Data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2018-08-31, godzina: 12:00,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Skrócenie terminu składania wniosków, ze względu na pilną potrzebę udzielenia zamówienia (przetarg nieograniczony, przetarg ograniczony, negocjacje z 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głoszeniem):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Wskazać powody: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Język lub języki, w jakich mogą być sporządzane oferty lub wnioski o dopuszczenie do udziału w postępowaniu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&gt;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IV.6.3) Termin związania ofertą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 okres w dniach: 30 (od ostatecznego terminu składania ofert)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Nie</w:t>
      </w:r>
      <w:proofErr w:type="gramEnd"/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IV.6.6) Informacje dodatkowe</w:t>
      </w:r>
      <w:proofErr w:type="gramStart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: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9C2FE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ZAŁĄCZNIK</w:t>
      </w:r>
      <w:proofErr w:type="gramEnd"/>
      <w:r w:rsidRPr="009C2F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 I - INFORMACJE DOTYCZĄCE OFERT CZĘŚCIOWYCH</w:t>
      </w:r>
    </w:p>
    <w:sectPr w:rsidR="00982783" w:rsidRPr="009C2FE2" w:rsidSect="00982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E2"/>
    <w:rsid w:val="00004652"/>
    <w:rsid w:val="00014067"/>
    <w:rsid w:val="000443C7"/>
    <w:rsid w:val="00047695"/>
    <w:rsid w:val="000B31D9"/>
    <w:rsid w:val="000E2B4D"/>
    <w:rsid w:val="000F32D3"/>
    <w:rsid w:val="00117948"/>
    <w:rsid w:val="00122D83"/>
    <w:rsid w:val="00130290"/>
    <w:rsid w:val="00136A7F"/>
    <w:rsid w:val="00136E21"/>
    <w:rsid w:val="00143FFB"/>
    <w:rsid w:val="00152383"/>
    <w:rsid w:val="001660D1"/>
    <w:rsid w:val="001B482B"/>
    <w:rsid w:val="001B66DB"/>
    <w:rsid w:val="00202669"/>
    <w:rsid w:val="00253DCD"/>
    <w:rsid w:val="002664DC"/>
    <w:rsid w:val="00270EF3"/>
    <w:rsid w:val="00271444"/>
    <w:rsid w:val="0027253D"/>
    <w:rsid w:val="002D11ED"/>
    <w:rsid w:val="002D1AD5"/>
    <w:rsid w:val="002F73F7"/>
    <w:rsid w:val="00316EAB"/>
    <w:rsid w:val="00327828"/>
    <w:rsid w:val="00333D2C"/>
    <w:rsid w:val="00340DFA"/>
    <w:rsid w:val="003714D4"/>
    <w:rsid w:val="00373856"/>
    <w:rsid w:val="00375313"/>
    <w:rsid w:val="003D3C97"/>
    <w:rsid w:val="003E62CA"/>
    <w:rsid w:val="003F0A01"/>
    <w:rsid w:val="00403A9B"/>
    <w:rsid w:val="00414268"/>
    <w:rsid w:val="00434715"/>
    <w:rsid w:val="004467AB"/>
    <w:rsid w:val="00494D3D"/>
    <w:rsid w:val="004A0064"/>
    <w:rsid w:val="004A0821"/>
    <w:rsid w:val="004A2C55"/>
    <w:rsid w:val="00505BF6"/>
    <w:rsid w:val="0053273B"/>
    <w:rsid w:val="00533373"/>
    <w:rsid w:val="005759EC"/>
    <w:rsid w:val="005B6E8B"/>
    <w:rsid w:val="005C66F1"/>
    <w:rsid w:val="005D0BE6"/>
    <w:rsid w:val="005D15AF"/>
    <w:rsid w:val="005E451D"/>
    <w:rsid w:val="005F03D2"/>
    <w:rsid w:val="0065516B"/>
    <w:rsid w:val="00676371"/>
    <w:rsid w:val="006D0BD2"/>
    <w:rsid w:val="006D2D91"/>
    <w:rsid w:val="00704C08"/>
    <w:rsid w:val="00705765"/>
    <w:rsid w:val="007448AD"/>
    <w:rsid w:val="00781B7F"/>
    <w:rsid w:val="007A0A08"/>
    <w:rsid w:val="007E11D2"/>
    <w:rsid w:val="00827A16"/>
    <w:rsid w:val="008560F1"/>
    <w:rsid w:val="00870C53"/>
    <w:rsid w:val="00875313"/>
    <w:rsid w:val="0089147C"/>
    <w:rsid w:val="008A1E22"/>
    <w:rsid w:val="008C561A"/>
    <w:rsid w:val="008F35E2"/>
    <w:rsid w:val="008F65B9"/>
    <w:rsid w:val="00903934"/>
    <w:rsid w:val="00907E6F"/>
    <w:rsid w:val="00910BB6"/>
    <w:rsid w:val="00915C59"/>
    <w:rsid w:val="00982783"/>
    <w:rsid w:val="009C2FE2"/>
    <w:rsid w:val="009C4546"/>
    <w:rsid w:val="009D2C15"/>
    <w:rsid w:val="009D4531"/>
    <w:rsid w:val="009F6666"/>
    <w:rsid w:val="00A0238B"/>
    <w:rsid w:val="00A04449"/>
    <w:rsid w:val="00A11EE2"/>
    <w:rsid w:val="00A2231C"/>
    <w:rsid w:val="00A41974"/>
    <w:rsid w:val="00A9395F"/>
    <w:rsid w:val="00AA6EAF"/>
    <w:rsid w:val="00AD2AAD"/>
    <w:rsid w:val="00AF03EC"/>
    <w:rsid w:val="00B22D62"/>
    <w:rsid w:val="00B25F18"/>
    <w:rsid w:val="00B43050"/>
    <w:rsid w:val="00B50E08"/>
    <w:rsid w:val="00B52529"/>
    <w:rsid w:val="00B909A3"/>
    <w:rsid w:val="00BF33FE"/>
    <w:rsid w:val="00BF7401"/>
    <w:rsid w:val="00C40501"/>
    <w:rsid w:val="00C4259B"/>
    <w:rsid w:val="00C746C2"/>
    <w:rsid w:val="00CC0A16"/>
    <w:rsid w:val="00CC7115"/>
    <w:rsid w:val="00CD115D"/>
    <w:rsid w:val="00CF303A"/>
    <w:rsid w:val="00CF68DC"/>
    <w:rsid w:val="00D0456C"/>
    <w:rsid w:val="00D304B3"/>
    <w:rsid w:val="00D32ED5"/>
    <w:rsid w:val="00D40B2C"/>
    <w:rsid w:val="00D76323"/>
    <w:rsid w:val="00D80A20"/>
    <w:rsid w:val="00D87414"/>
    <w:rsid w:val="00DA0694"/>
    <w:rsid w:val="00E025F0"/>
    <w:rsid w:val="00E35297"/>
    <w:rsid w:val="00E61F8E"/>
    <w:rsid w:val="00E644DA"/>
    <w:rsid w:val="00E6480F"/>
    <w:rsid w:val="00E91DF8"/>
    <w:rsid w:val="00E979D3"/>
    <w:rsid w:val="00E97E52"/>
    <w:rsid w:val="00EA0091"/>
    <w:rsid w:val="00EC2FD6"/>
    <w:rsid w:val="00EC3AE7"/>
    <w:rsid w:val="00ED2D35"/>
    <w:rsid w:val="00EF0C13"/>
    <w:rsid w:val="00F057E0"/>
    <w:rsid w:val="00F0705C"/>
    <w:rsid w:val="00F32CA6"/>
    <w:rsid w:val="00F6291A"/>
    <w:rsid w:val="00F7787B"/>
    <w:rsid w:val="00F80302"/>
    <w:rsid w:val="00F8035D"/>
    <w:rsid w:val="00F96708"/>
    <w:rsid w:val="00FB10E7"/>
    <w:rsid w:val="00FC3BEB"/>
    <w:rsid w:val="00FC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748F3-A1AE-41A6-BCE8-FB53B3D2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27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9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3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8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2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9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2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3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3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1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6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1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0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2815</Words>
  <Characters>16893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bartek</cp:lastModifiedBy>
  <cp:revision>2</cp:revision>
  <dcterms:created xsi:type="dcterms:W3CDTF">2018-08-23T19:34:00Z</dcterms:created>
  <dcterms:modified xsi:type="dcterms:W3CDTF">2018-08-23T19:34:00Z</dcterms:modified>
</cp:coreProperties>
</file>